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56" w:rsidRPr="00C62256" w:rsidRDefault="00C62256" w:rsidP="00C62256">
      <w:pPr>
        <w:pStyle w:val="ab"/>
      </w:pPr>
      <w:r w:rsidRPr="00C62256">
        <w:t>T</w:t>
      </w:r>
      <w:r w:rsidRPr="00C62256">
        <w:rPr>
          <w:rFonts w:hint="eastAsia"/>
        </w:rPr>
        <w:t>able</w:t>
      </w:r>
      <w:r w:rsidRPr="00C62256">
        <w:t xml:space="preserve"> 1</w:t>
      </w:r>
      <w:r w:rsidRPr="00C62256">
        <w:t>. Comparison of clinical data.</w:t>
      </w:r>
    </w:p>
    <w:tbl>
      <w:tblPr>
        <w:tblStyle w:val="a9"/>
        <w:tblW w:w="1261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68"/>
        <w:gridCol w:w="708"/>
        <w:gridCol w:w="993"/>
        <w:gridCol w:w="708"/>
        <w:gridCol w:w="851"/>
        <w:gridCol w:w="850"/>
        <w:gridCol w:w="709"/>
        <w:gridCol w:w="1134"/>
        <w:gridCol w:w="1134"/>
        <w:gridCol w:w="709"/>
        <w:gridCol w:w="850"/>
        <w:gridCol w:w="851"/>
        <w:gridCol w:w="850"/>
        <w:gridCol w:w="851"/>
      </w:tblGrid>
      <w:tr w:rsidR="00C62256" w:rsidRPr="00C62256" w:rsidTr="00C62256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left"/>
            </w:pPr>
            <w:r w:rsidRPr="00C62256">
              <w:t>Group</w:t>
            </w:r>
          </w:p>
        </w:tc>
        <w:tc>
          <w:tcPr>
            <w:tcW w:w="568" w:type="dxa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N</w:t>
            </w:r>
          </w:p>
        </w:tc>
        <w:tc>
          <w:tcPr>
            <w:tcW w:w="1701" w:type="dxa"/>
            <w:gridSpan w:val="2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Gender (n)</w:t>
            </w:r>
          </w:p>
        </w:tc>
        <w:tc>
          <w:tcPr>
            <w:tcW w:w="708" w:type="dxa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Age (yr)</w:t>
            </w:r>
          </w:p>
        </w:tc>
        <w:tc>
          <w:tcPr>
            <w:tcW w:w="851" w:type="dxa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Weight (kg)</w:t>
            </w:r>
          </w:p>
        </w:tc>
        <w:tc>
          <w:tcPr>
            <w:tcW w:w="850" w:type="dxa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Height (cm)</w:t>
            </w:r>
          </w:p>
        </w:tc>
        <w:tc>
          <w:tcPr>
            <w:tcW w:w="3686" w:type="dxa"/>
            <w:gridSpan w:val="4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Type of fracture (n)</w:t>
            </w:r>
          </w:p>
        </w:tc>
        <w:tc>
          <w:tcPr>
            <w:tcW w:w="3402" w:type="dxa"/>
            <w:gridSpan w:val="4"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  <w:r w:rsidRPr="00C62256">
              <w:t>Cause of trauma (n)</w:t>
            </w:r>
          </w:p>
        </w:tc>
      </w:tr>
      <w:tr w:rsidR="00C62256" w:rsidRPr="00C62256" w:rsidTr="00C62256">
        <w:trPr>
          <w:trHeight w:val="283"/>
          <w:jc w:val="center"/>
        </w:trPr>
        <w:tc>
          <w:tcPr>
            <w:tcW w:w="851" w:type="dxa"/>
            <w:vMerge/>
            <w:vAlign w:val="center"/>
          </w:tcPr>
          <w:p w:rsidR="00C62256" w:rsidRPr="00C62256" w:rsidRDefault="00C62256" w:rsidP="000D5C50">
            <w:pPr>
              <w:ind w:firstLine="420"/>
              <w:jc w:val="left"/>
            </w:pPr>
          </w:p>
        </w:tc>
        <w:tc>
          <w:tcPr>
            <w:tcW w:w="568" w:type="dxa"/>
            <w:vMerge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70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Male</w:t>
            </w:r>
          </w:p>
        </w:tc>
        <w:tc>
          <w:tcPr>
            <w:tcW w:w="993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Female</w:t>
            </w:r>
          </w:p>
        </w:tc>
        <w:tc>
          <w:tcPr>
            <w:tcW w:w="708" w:type="dxa"/>
            <w:vMerge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709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Tibia-fibula</w:t>
            </w:r>
          </w:p>
        </w:tc>
        <w:tc>
          <w:tcPr>
            <w:tcW w:w="1134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Tibia-fibula and ulna-radius</w:t>
            </w:r>
          </w:p>
        </w:tc>
        <w:tc>
          <w:tcPr>
            <w:tcW w:w="1134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femur and humerus</w:t>
            </w:r>
          </w:p>
        </w:tc>
        <w:tc>
          <w:tcPr>
            <w:tcW w:w="709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humerus and ulna-radius</w:t>
            </w:r>
          </w:p>
        </w:tc>
        <w:tc>
          <w:tcPr>
            <w:tcW w:w="850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Traffic injury</w:t>
            </w:r>
          </w:p>
        </w:tc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Crush injury</w:t>
            </w:r>
          </w:p>
        </w:tc>
        <w:tc>
          <w:tcPr>
            <w:tcW w:w="850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Fall injury</w:t>
            </w:r>
          </w:p>
        </w:tc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Other</w:t>
            </w:r>
          </w:p>
        </w:tc>
      </w:tr>
      <w:tr w:rsidR="00C62256" w:rsidRPr="00C62256" w:rsidTr="00C62256">
        <w:trPr>
          <w:trHeight w:val="283"/>
          <w:jc w:val="center"/>
        </w:trPr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left"/>
            </w:pPr>
            <w:r w:rsidRPr="00C62256">
              <w:t>Study group</w:t>
            </w:r>
          </w:p>
        </w:tc>
        <w:tc>
          <w:tcPr>
            <w:tcW w:w="56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58</w:t>
            </w:r>
          </w:p>
        </w:tc>
        <w:tc>
          <w:tcPr>
            <w:tcW w:w="70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30</w:t>
            </w:r>
          </w:p>
        </w:tc>
        <w:tc>
          <w:tcPr>
            <w:tcW w:w="993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28</w:t>
            </w:r>
          </w:p>
        </w:tc>
        <w:tc>
          <w:tcPr>
            <w:tcW w:w="70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34.26 ± 1.21</w:t>
            </w:r>
          </w:p>
        </w:tc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65.34 ± 3.15</w:t>
            </w:r>
          </w:p>
        </w:tc>
        <w:tc>
          <w:tcPr>
            <w:tcW w:w="850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168.24 ± 5.26</w:t>
            </w:r>
          </w:p>
        </w:tc>
        <w:tc>
          <w:tcPr>
            <w:tcW w:w="709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22</w:t>
            </w:r>
          </w:p>
        </w:tc>
        <w:tc>
          <w:tcPr>
            <w:tcW w:w="1134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18</w:t>
            </w:r>
          </w:p>
        </w:tc>
        <w:tc>
          <w:tcPr>
            <w:tcW w:w="1134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15</w:t>
            </w:r>
          </w:p>
        </w:tc>
        <w:tc>
          <w:tcPr>
            <w:tcW w:w="709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</w:t>
            </w:r>
          </w:p>
        </w:tc>
        <w:tc>
          <w:tcPr>
            <w:tcW w:w="850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30</w:t>
            </w:r>
          </w:p>
        </w:tc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15</w:t>
            </w:r>
          </w:p>
        </w:tc>
        <w:tc>
          <w:tcPr>
            <w:tcW w:w="850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10</w:t>
            </w:r>
          </w:p>
        </w:tc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</w:t>
            </w:r>
          </w:p>
        </w:tc>
      </w:tr>
      <w:tr w:rsidR="00C62256" w:rsidRPr="00C62256" w:rsidTr="00C62256">
        <w:trPr>
          <w:trHeight w:val="283"/>
          <w:jc w:val="center"/>
        </w:trPr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left"/>
            </w:pPr>
            <w:r w:rsidRPr="00C62256">
              <w:t>Control group</w:t>
            </w:r>
          </w:p>
        </w:tc>
        <w:tc>
          <w:tcPr>
            <w:tcW w:w="56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58</w:t>
            </w:r>
          </w:p>
        </w:tc>
        <w:tc>
          <w:tcPr>
            <w:tcW w:w="70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31</w:t>
            </w:r>
          </w:p>
        </w:tc>
        <w:tc>
          <w:tcPr>
            <w:tcW w:w="993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27</w:t>
            </w:r>
          </w:p>
        </w:tc>
        <w:tc>
          <w:tcPr>
            <w:tcW w:w="70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34.33 ± 1.25</w:t>
            </w:r>
          </w:p>
        </w:tc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65.48 ± 3.21</w:t>
            </w:r>
          </w:p>
        </w:tc>
        <w:tc>
          <w:tcPr>
            <w:tcW w:w="850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169.59 ± 5.44</w:t>
            </w:r>
          </w:p>
        </w:tc>
        <w:tc>
          <w:tcPr>
            <w:tcW w:w="709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21</w:t>
            </w:r>
          </w:p>
        </w:tc>
        <w:tc>
          <w:tcPr>
            <w:tcW w:w="1134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19</w:t>
            </w:r>
          </w:p>
        </w:tc>
        <w:tc>
          <w:tcPr>
            <w:tcW w:w="1134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14</w:t>
            </w:r>
          </w:p>
        </w:tc>
        <w:tc>
          <w:tcPr>
            <w:tcW w:w="709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4</w:t>
            </w:r>
          </w:p>
        </w:tc>
        <w:tc>
          <w:tcPr>
            <w:tcW w:w="850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31</w:t>
            </w:r>
          </w:p>
        </w:tc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14</w:t>
            </w:r>
          </w:p>
        </w:tc>
        <w:tc>
          <w:tcPr>
            <w:tcW w:w="850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11</w:t>
            </w:r>
          </w:p>
        </w:tc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</w:t>
            </w:r>
          </w:p>
        </w:tc>
      </w:tr>
      <w:tr w:rsidR="00C62256" w:rsidRPr="00C62256" w:rsidTr="00C62256">
        <w:trPr>
          <w:trHeight w:val="283"/>
          <w:jc w:val="center"/>
        </w:trPr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left"/>
            </w:pPr>
            <w:r w:rsidRPr="00C62256">
              <w:t>t/</w:t>
            </w:r>
            <w:r w:rsidRPr="00C62256">
              <w:rPr>
                <w:iCs/>
              </w:rPr>
              <w:t>χ</w:t>
            </w:r>
            <w:r w:rsidRPr="00C62256">
              <w:rPr>
                <w:vertAlign w:val="superscript"/>
              </w:rPr>
              <w:t>2</w:t>
            </w:r>
            <w:r w:rsidRPr="00C62256">
              <w:t xml:space="preserve"> value</w:t>
            </w:r>
          </w:p>
        </w:tc>
        <w:tc>
          <w:tcPr>
            <w:tcW w:w="56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1701" w:type="dxa"/>
            <w:gridSpan w:val="2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0.03</w:t>
            </w:r>
          </w:p>
        </w:tc>
        <w:tc>
          <w:tcPr>
            <w:tcW w:w="70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0.31</w:t>
            </w:r>
          </w:p>
        </w:tc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0.24</w:t>
            </w:r>
          </w:p>
        </w:tc>
        <w:tc>
          <w:tcPr>
            <w:tcW w:w="850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1.36</w:t>
            </w:r>
          </w:p>
        </w:tc>
        <w:tc>
          <w:tcPr>
            <w:tcW w:w="3686" w:type="dxa"/>
            <w:gridSpan w:val="4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0.23</w:t>
            </w:r>
          </w:p>
        </w:tc>
        <w:tc>
          <w:tcPr>
            <w:tcW w:w="3402" w:type="dxa"/>
            <w:gridSpan w:val="4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0.30</w:t>
            </w:r>
          </w:p>
        </w:tc>
      </w:tr>
      <w:tr w:rsidR="00C62256" w:rsidRPr="00C62256" w:rsidTr="00C62256">
        <w:trPr>
          <w:trHeight w:val="283"/>
          <w:jc w:val="center"/>
        </w:trPr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left"/>
            </w:pPr>
            <w:r w:rsidRPr="00C62256">
              <w:rPr>
                <w:i/>
              </w:rPr>
              <w:t>p</w:t>
            </w:r>
            <w:r w:rsidRPr="00C62256">
              <w:t xml:space="preserve"> value</w:t>
            </w:r>
          </w:p>
        </w:tc>
        <w:tc>
          <w:tcPr>
            <w:tcW w:w="56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1701" w:type="dxa"/>
            <w:gridSpan w:val="2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0.85</w:t>
            </w:r>
          </w:p>
        </w:tc>
        <w:tc>
          <w:tcPr>
            <w:tcW w:w="708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0.76</w:t>
            </w:r>
          </w:p>
        </w:tc>
        <w:tc>
          <w:tcPr>
            <w:tcW w:w="851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0.81</w:t>
            </w:r>
          </w:p>
        </w:tc>
        <w:tc>
          <w:tcPr>
            <w:tcW w:w="850" w:type="dxa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0.18</w:t>
            </w:r>
          </w:p>
        </w:tc>
        <w:tc>
          <w:tcPr>
            <w:tcW w:w="3686" w:type="dxa"/>
            <w:gridSpan w:val="4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0.97</w:t>
            </w:r>
          </w:p>
        </w:tc>
        <w:tc>
          <w:tcPr>
            <w:tcW w:w="3402" w:type="dxa"/>
            <w:gridSpan w:val="4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0.96</w:t>
            </w:r>
          </w:p>
        </w:tc>
      </w:tr>
    </w:tbl>
    <w:p w:rsidR="00C62256" w:rsidRPr="00C62256" w:rsidRDefault="00C62256" w:rsidP="00C62256">
      <w:pPr>
        <w:pStyle w:val="ad"/>
      </w:pPr>
    </w:p>
    <w:p w:rsidR="00C62256" w:rsidRPr="00C62256" w:rsidRDefault="00C62256" w:rsidP="00C62256">
      <w:pPr>
        <w:pStyle w:val="ad"/>
      </w:pPr>
    </w:p>
    <w:p w:rsidR="00C62256" w:rsidRPr="00C62256" w:rsidRDefault="00C62256" w:rsidP="00C62256">
      <w:pPr>
        <w:pStyle w:val="ad"/>
      </w:pPr>
    </w:p>
    <w:p w:rsidR="00C62256" w:rsidRPr="00C62256" w:rsidRDefault="00C62256" w:rsidP="00C62256">
      <w:pPr>
        <w:pStyle w:val="ab"/>
      </w:pPr>
      <w:r w:rsidRPr="00C62256">
        <w:t>Table</w:t>
      </w:r>
      <w:r w:rsidRPr="00C62256">
        <w:t xml:space="preserve"> 2</w:t>
      </w:r>
      <w:r w:rsidRPr="00C62256">
        <w:t>. Comparison of coagulation parameters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w:sym w:font="Symbol" w:char="F0B1"/>
        </m:r>
        <m:r>
          <m:rPr>
            <m:sty m:val="bi"/>
          </m:rPr>
          <w:rPr>
            <w:rFonts w:ascii="Cambria Math" w:hAnsi="Cambria Math"/>
          </w:rPr>
          <m:t xml:space="preserve"> s</m:t>
        </m:r>
      </m:oMath>
      <w:r w:rsidRPr="00C62256">
        <w:t>).</w:t>
      </w:r>
    </w:p>
    <w:tbl>
      <w:tblPr>
        <w:tblStyle w:val="a9"/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420"/>
        <w:gridCol w:w="793"/>
        <w:gridCol w:w="838"/>
        <w:gridCol w:w="838"/>
        <w:gridCol w:w="835"/>
        <w:gridCol w:w="838"/>
        <w:gridCol w:w="838"/>
        <w:gridCol w:w="984"/>
        <w:gridCol w:w="835"/>
        <w:gridCol w:w="838"/>
        <w:gridCol w:w="978"/>
        <w:gridCol w:w="838"/>
        <w:gridCol w:w="838"/>
        <w:gridCol w:w="835"/>
        <w:gridCol w:w="844"/>
        <w:gridCol w:w="835"/>
        <w:gridCol w:w="838"/>
      </w:tblGrid>
      <w:tr w:rsidR="00C62256" w:rsidRPr="00C62256" w:rsidTr="00C62256">
        <w:trPr>
          <w:jc w:val="center"/>
        </w:trPr>
        <w:tc>
          <w:tcPr>
            <w:tcW w:w="284" w:type="pct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left"/>
            </w:pPr>
            <w:r w:rsidRPr="00C62256">
              <w:t>Group</w:t>
            </w:r>
          </w:p>
        </w:tc>
        <w:tc>
          <w:tcPr>
            <w:tcW w:w="141" w:type="pct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N</w:t>
            </w:r>
          </w:p>
        </w:tc>
        <w:tc>
          <w:tcPr>
            <w:tcW w:w="546" w:type="pct"/>
            <w:gridSpan w:val="2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TT (s)</w:t>
            </w:r>
          </w:p>
        </w:tc>
        <w:tc>
          <w:tcPr>
            <w:tcW w:w="281" w:type="pct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t value</w:t>
            </w:r>
          </w:p>
        </w:tc>
        <w:tc>
          <w:tcPr>
            <w:tcW w:w="280" w:type="pct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rPr>
                <w:i/>
              </w:rPr>
              <w:t>p</w:t>
            </w:r>
            <w:r w:rsidRPr="00C62256">
              <w:t xml:space="preserve"> value</w:t>
            </w:r>
          </w:p>
        </w:tc>
        <w:tc>
          <w:tcPr>
            <w:tcW w:w="562" w:type="pct"/>
            <w:gridSpan w:val="2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Fib (g/L)</w:t>
            </w:r>
          </w:p>
        </w:tc>
        <w:tc>
          <w:tcPr>
            <w:tcW w:w="330" w:type="pct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t value</w:t>
            </w:r>
          </w:p>
        </w:tc>
        <w:tc>
          <w:tcPr>
            <w:tcW w:w="280" w:type="pct"/>
            <w:vMerge w:val="restar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rPr>
                <w:i/>
              </w:rPr>
              <w:t>p</w:t>
            </w:r>
            <w:r w:rsidRPr="00C62256">
              <w:t xml:space="preserve"> value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C62256" w:rsidRPr="00C62256" w:rsidRDefault="00C62256" w:rsidP="000D5C50">
            <w:pPr>
              <w:widowControl/>
              <w:ind w:firstLineChars="0" w:firstLine="0"/>
              <w:jc w:val="center"/>
            </w:pPr>
            <w:r w:rsidRPr="00C62256">
              <w:t>PT (s)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t value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rPr>
                <w:i/>
              </w:rPr>
              <w:t>p</w:t>
            </w:r>
            <w:r w:rsidRPr="00C62256">
              <w:t xml:space="preserve"> value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C62256" w:rsidRPr="00C62256" w:rsidRDefault="00C62256" w:rsidP="000D5C50">
            <w:pPr>
              <w:widowControl/>
              <w:ind w:firstLineChars="0" w:firstLine="0"/>
              <w:jc w:val="center"/>
            </w:pPr>
            <w:r w:rsidRPr="00C62256">
              <w:t>APTT (s)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t value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rPr>
                <w:i/>
              </w:rPr>
              <w:t>p</w:t>
            </w:r>
            <w:r w:rsidRPr="00C62256">
              <w:t xml:space="preserve"> value</w:t>
            </w:r>
          </w:p>
        </w:tc>
      </w:tr>
      <w:tr w:rsidR="00C62256" w:rsidRPr="00C62256" w:rsidTr="00C62256">
        <w:trPr>
          <w:jc w:val="center"/>
        </w:trPr>
        <w:tc>
          <w:tcPr>
            <w:tcW w:w="284" w:type="pct"/>
            <w:vMerge/>
            <w:vAlign w:val="center"/>
          </w:tcPr>
          <w:p w:rsidR="00C62256" w:rsidRPr="00C62256" w:rsidRDefault="00C62256" w:rsidP="000D5C50">
            <w:pPr>
              <w:ind w:firstLine="420"/>
              <w:jc w:val="left"/>
            </w:pPr>
          </w:p>
        </w:tc>
        <w:tc>
          <w:tcPr>
            <w:tcW w:w="141" w:type="pct"/>
            <w:vMerge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266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Pre-surgery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24 h post-surgery</w:t>
            </w:r>
          </w:p>
        </w:tc>
        <w:tc>
          <w:tcPr>
            <w:tcW w:w="281" w:type="pct"/>
            <w:vMerge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280" w:type="pct"/>
            <w:vMerge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Pre-surgery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24 h post-surgery</w:t>
            </w:r>
          </w:p>
        </w:tc>
        <w:tc>
          <w:tcPr>
            <w:tcW w:w="330" w:type="pct"/>
            <w:vMerge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280" w:type="pct"/>
            <w:vMerge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Pre-surgery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24 h post-surgery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Pre-surgery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24 h post-surgery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C62256" w:rsidRPr="00C62256" w:rsidRDefault="00C62256" w:rsidP="000D5C50">
            <w:pPr>
              <w:ind w:firstLine="420"/>
              <w:jc w:val="center"/>
            </w:pPr>
          </w:p>
        </w:tc>
      </w:tr>
      <w:tr w:rsidR="00C62256" w:rsidRPr="00C62256" w:rsidTr="00C62256">
        <w:trPr>
          <w:jc w:val="center"/>
        </w:trPr>
        <w:tc>
          <w:tcPr>
            <w:tcW w:w="284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left"/>
            </w:pPr>
            <w:r w:rsidRPr="00C62256">
              <w:t>Study group</w:t>
            </w:r>
          </w:p>
        </w:tc>
        <w:tc>
          <w:tcPr>
            <w:tcW w:w="14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58</w:t>
            </w:r>
          </w:p>
        </w:tc>
        <w:tc>
          <w:tcPr>
            <w:tcW w:w="266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12.05 ± 0.44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11.95 ± 0.39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1.2953</w:t>
            </w:r>
          </w:p>
        </w:tc>
        <w:tc>
          <w:tcPr>
            <w:tcW w:w="28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0.1978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3.50 ± 0.51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2.75 ± 0.21</w:t>
            </w:r>
          </w:p>
        </w:tc>
        <w:tc>
          <w:tcPr>
            <w:tcW w:w="33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10.3561</w:t>
            </w:r>
          </w:p>
        </w:tc>
        <w:tc>
          <w:tcPr>
            <w:tcW w:w="28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0.0000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13.24 ± 0.60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13.33 ± 0.54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0.8491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0.3976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33.24 ± 1.11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32.14 ± 6.96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1.1886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0.2371</w:t>
            </w:r>
          </w:p>
        </w:tc>
      </w:tr>
      <w:tr w:rsidR="00C62256" w:rsidRPr="00C62256" w:rsidTr="00C62256">
        <w:trPr>
          <w:jc w:val="center"/>
        </w:trPr>
        <w:tc>
          <w:tcPr>
            <w:tcW w:w="284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left"/>
            </w:pPr>
            <w:r w:rsidRPr="00C62256">
              <w:t>Control group</w:t>
            </w:r>
          </w:p>
        </w:tc>
        <w:tc>
          <w:tcPr>
            <w:tcW w:w="14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58</w:t>
            </w:r>
          </w:p>
        </w:tc>
        <w:tc>
          <w:tcPr>
            <w:tcW w:w="266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12.16 ± 0.49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11.91 ± 0.43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2.9205</w:t>
            </w:r>
          </w:p>
        </w:tc>
        <w:tc>
          <w:tcPr>
            <w:tcW w:w="28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0.0042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3.49 ± 0.50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2.78 ± 0.19</w:t>
            </w:r>
          </w:p>
        </w:tc>
        <w:tc>
          <w:tcPr>
            <w:tcW w:w="33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10.1091</w:t>
            </w:r>
          </w:p>
        </w:tc>
        <w:tc>
          <w:tcPr>
            <w:tcW w:w="28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0.0000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13.31 ± 0.57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13.29 ± 0.46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0.2080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0.8356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33.14 ± 1.05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32.17 ± 7.26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1.0071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0.3160</w:t>
            </w:r>
          </w:p>
        </w:tc>
      </w:tr>
      <w:tr w:rsidR="00C62256" w:rsidRPr="00C62256" w:rsidTr="00C62256">
        <w:trPr>
          <w:jc w:val="center"/>
        </w:trPr>
        <w:tc>
          <w:tcPr>
            <w:tcW w:w="284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left"/>
            </w:pPr>
            <w:r w:rsidRPr="00C62256">
              <w:t>t value</w:t>
            </w:r>
          </w:p>
        </w:tc>
        <w:tc>
          <w:tcPr>
            <w:tcW w:w="14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66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1.2721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0.5248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0.1066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0.8068</w:t>
            </w:r>
          </w:p>
        </w:tc>
        <w:tc>
          <w:tcPr>
            <w:tcW w:w="33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0.6442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0.4294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0.4984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0.0227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——</w:t>
            </w:r>
          </w:p>
        </w:tc>
      </w:tr>
      <w:tr w:rsidR="00C62256" w:rsidRPr="00C62256" w:rsidTr="00C62256">
        <w:trPr>
          <w:jc w:val="center"/>
        </w:trPr>
        <w:tc>
          <w:tcPr>
            <w:tcW w:w="284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left"/>
            </w:pPr>
            <w:r w:rsidRPr="00C62256">
              <w:rPr>
                <w:i/>
              </w:rPr>
              <w:t>p</w:t>
            </w:r>
            <w:r w:rsidRPr="00C62256">
              <w:t xml:space="preserve"> value</w:t>
            </w:r>
          </w:p>
        </w:tc>
        <w:tc>
          <w:tcPr>
            <w:tcW w:w="14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66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0.21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0.60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0.92</w:t>
            </w:r>
          </w:p>
        </w:tc>
        <w:tc>
          <w:tcPr>
            <w:tcW w:w="281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0.42</w:t>
            </w:r>
          </w:p>
        </w:tc>
        <w:tc>
          <w:tcPr>
            <w:tcW w:w="33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0" w:type="pct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0.52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0.67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0.62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0.98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62256" w:rsidRPr="00C62256" w:rsidRDefault="00C62256" w:rsidP="000D5C50">
            <w:pPr>
              <w:ind w:firstLineChars="0" w:firstLine="0"/>
              <w:jc w:val="center"/>
            </w:pPr>
            <w:r w:rsidRPr="00C62256">
              <w:t>——</w:t>
            </w:r>
          </w:p>
        </w:tc>
      </w:tr>
    </w:tbl>
    <w:p w:rsidR="00C62256" w:rsidRPr="008D7450" w:rsidRDefault="00C62256" w:rsidP="00C62256">
      <w:pPr>
        <w:pStyle w:val="ac"/>
      </w:pPr>
      <w:r w:rsidRPr="00C62256">
        <w:rPr>
          <w:rFonts w:hint="eastAsia"/>
        </w:rPr>
        <w:t>T</w:t>
      </w:r>
      <w:r w:rsidRPr="00C62256">
        <w:t>T: thrombin time; Fib: fibrinogen; PT: prothrombin time; APTT: activated partial thromboplastin time.</w:t>
      </w:r>
      <w:bookmarkStart w:id="0" w:name="_GoBack"/>
      <w:bookmarkEnd w:id="0"/>
    </w:p>
    <w:p w:rsidR="00C62256" w:rsidRPr="00BC510E" w:rsidRDefault="00C62256" w:rsidP="00C62256">
      <w:pPr>
        <w:pStyle w:val="ad"/>
      </w:pPr>
    </w:p>
    <w:p w:rsidR="009271D3" w:rsidRPr="00C62256" w:rsidRDefault="009271D3">
      <w:pPr>
        <w:ind w:firstLine="441"/>
      </w:pPr>
    </w:p>
    <w:sectPr w:rsidR="009271D3" w:rsidRPr="00C62256" w:rsidSect="00C62256">
      <w:headerReference w:type="first" r:id="rId6"/>
      <w:pgSz w:w="16838" w:h="11906" w:orient="landscape"/>
      <w:pgMar w:top="1134" w:right="851" w:bottom="1134" w:left="851" w:header="284" w:footer="1134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56" w:rsidRDefault="00C62256" w:rsidP="00C62256">
      <w:pPr>
        <w:ind w:firstLine="441"/>
      </w:pPr>
      <w:r>
        <w:separator/>
      </w:r>
    </w:p>
  </w:endnote>
  <w:endnote w:type="continuationSeparator" w:id="0">
    <w:p w:rsidR="00C62256" w:rsidRDefault="00C62256" w:rsidP="00C62256">
      <w:pPr>
        <w:ind w:firstLine="4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56" w:rsidRDefault="00C62256" w:rsidP="00C62256">
      <w:pPr>
        <w:ind w:firstLine="441"/>
      </w:pPr>
      <w:r>
        <w:separator/>
      </w:r>
    </w:p>
  </w:footnote>
  <w:footnote w:type="continuationSeparator" w:id="0">
    <w:p w:rsidR="00C62256" w:rsidRDefault="00C62256" w:rsidP="00C62256">
      <w:pPr>
        <w:ind w:firstLine="4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DC" w:rsidRDefault="00C62256" w:rsidP="00FD1252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HorizontalSpacing w:val="139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FB"/>
    <w:rsid w:val="00532DFB"/>
    <w:rsid w:val="009271D3"/>
    <w:rsid w:val="00C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30E60"/>
  <w15:chartTrackingRefBased/>
  <w15:docId w15:val="{E6EB6371-5747-441C-A48C-3F5F5484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56"/>
    <w:pPr>
      <w:widowControl w:val="0"/>
      <w:ind w:firstLineChars="200" w:firstLine="200"/>
      <w:jc w:val="both"/>
    </w:pPr>
    <w:rPr>
      <w:rFonts w:ascii="Times New Roman" w:eastAsia="FangSong" w:hAnsi="Times New Roman" w:cs="Times New Roman"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2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25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256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62256"/>
    <w:rPr>
      <w:rFonts w:eastAsia="Times New Roman"/>
    </w:rPr>
  </w:style>
  <w:style w:type="character" w:customStyle="1" w:styleId="a8">
    <w:name w:val="批注文字 字符"/>
    <w:basedOn w:val="a0"/>
    <w:link w:val="a7"/>
    <w:uiPriority w:val="99"/>
    <w:rsid w:val="00C62256"/>
    <w:rPr>
      <w:rFonts w:ascii="Times New Roman" w:eastAsia="Times New Roman" w:hAnsi="Times New Roman" w:cs="Times New Roman"/>
      <w:color w:val="000000" w:themeColor="text1"/>
      <w:szCs w:val="21"/>
    </w:rPr>
  </w:style>
  <w:style w:type="table" w:styleId="a9">
    <w:name w:val="Table Grid"/>
    <w:basedOn w:val="a1"/>
    <w:uiPriority w:val="59"/>
    <w:qFormat/>
    <w:rsid w:val="00C62256"/>
    <w:rPr>
      <w:rFonts w:ascii="等线" w:eastAsia="等线" w:hAnsi="等线" w:cs="Times New Roman"/>
      <w:color w:val="000000" w:themeColor="text1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62256"/>
    <w:rPr>
      <w:sz w:val="16"/>
      <w:szCs w:val="16"/>
    </w:rPr>
  </w:style>
  <w:style w:type="paragraph" w:customStyle="1" w:styleId="ab">
    <w:name w:val="表题"/>
    <w:basedOn w:val="a"/>
    <w:autoRedefine/>
    <w:qFormat/>
    <w:rsid w:val="00C62256"/>
    <w:pPr>
      <w:spacing w:beforeLines="100" w:before="312" w:afterLines="100" w:after="312"/>
      <w:ind w:leftChars="200" w:left="441" w:firstLineChars="0" w:firstLine="0"/>
      <w:jc w:val="center"/>
    </w:pPr>
    <w:rPr>
      <w:rFonts w:eastAsia="宋体"/>
      <w:b/>
    </w:rPr>
  </w:style>
  <w:style w:type="paragraph" w:customStyle="1" w:styleId="ac">
    <w:name w:val="表注"/>
    <w:basedOn w:val="ab"/>
    <w:autoRedefine/>
    <w:qFormat/>
    <w:rsid w:val="00C62256"/>
    <w:pPr>
      <w:adjustRightInd w:val="0"/>
      <w:snapToGrid w:val="0"/>
      <w:spacing w:beforeLines="0" w:before="0" w:afterLines="0" w:after="0"/>
      <w:ind w:leftChars="0" w:left="0"/>
      <w:jc w:val="both"/>
    </w:pPr>
    <w:rPr>
      <w:b w:val="0"/>
    </w:rPr>
  </w:style>
  <w:style w:type="paragraph" w:customStyle="1" w:styleId="ad">
    <w:name w:val="参考文献"/>
    <w:basedOn w:val="a"/>
    <w:autoRedefine/>
    <w:qFormat/>
    <w:rsid w:val="00C62256"/>
    <w:pPr>
      <w:ind w:left="360" w:hangingChars="200" w:hanging="360"/>
    </w:pPr>
    <w:rPr>
      <w:rFonts w:eastAsia="等线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225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62256"/>
    <w:rPr>
      <w:rFonts w:ascii="Times New Roman" w:eastAsia="FangSong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2023-02-21T07:13:00Z</dcterms:created>
  <dcterms:modified xsi:type="dcterms:W3CDTF">2023-02-21T07:14:00Z</dcterms:modified>
</cp:coreProperties>
</file>